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val="en-US" w:eastAsia="zh-CN"/>
        </w:rP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eastAsia="zh-CN"/>
        </w:rPr>
        <w:t>3</w:t>
      </w:r>
      <w:r>
        <w:rPr>
          <w:rFonts w:hint="eastAsia"/>
          <w:lang w:eastAsia="zh-CN"/>
        </w:rP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eastAsia="zh-CN"/>
        </w:rPr>
        <w:t>4</w:t>
      </w:r>
      <w:r>
        <w:rPr>
          <w:rFonts w:hint="eastAsia"/>
          <w:lang w:eastAsia="zh-CN"/>
        </w:rP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eastAsia="zh-CN"/>
        </w:rPr>
        <w:t>6</w:t>
      </w:r>
      <w:r>
        <w:rPr>
          <w:rFonts w:hint="eastAsia"/>
          <w:lang w:eastAsia="zh-CN"/>
        </w:rP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eastAsia="zh-CN"/>
        </w:rPr>
        <w:t>8</w:t>
      </w:r>
      <w:r>
        <w:rPr>
          <w:rFonts w:hint="eastAsia"/>
          <w:lang w:eastAsia="zh-CN"/>
        </w:rP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eastAsia="zh-CN"/>
        </w:rPr>
        <w:t>9</w:t>
      </w:r>
      <w:r>
        <w:rPr>
          <w:rFonts w:hint="eastAsia"/>
          <w:lang w:eastAsia="zh-CN"/>
        </w:rPr>
        <w:fldChar w:fldCharType="end"/>
      </w:r>
    </w:p>
    <w:p>
      <w:pPr>
        <w:pStyle w:val="7"/>
        <w:tabs>
          <w:tab w:val="right" w:leader="dot" w:pos="14562"/>
        </w:tabs>
      </w:pPr>
      <w:r>
        <w:fldChar w:fldCharType="begin"/>
      </w:r>
      <w:r>
        <w:instrText xml:space="preserve"> HYPERLINK \l "_Toc_2_2_0000000007" </w:instrText>
      </w:r>
      <w:r>
        <w:fldChar w:fldCharType="separate"/>
      </w:r>
      <w:r>
        <w:t>单位预算政府基金预算财政拨款支出表</w:t>
      </w:r>
      <w:r>
        <w:tab/>
      </w:r>
      <w:r>
        <w:rPr>
          <w:rFonts w:hint="eastAsia"/>
          <w:lang w:eastAsia="zh-CN"/>
        </w:rPr>
        <w:t>11</w:t>
      </w:r>
      <w:r>
        <w:rPr>
          <w:rFonts w:hint="eastAsia"/>
          <w:lang w:eastAsia="zh-CN"/>
        </w:rPr>
        <w:fldChar w:fldCharType="end"/>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rPr>
          <w:rFonts w:hint="eastAsia"/>
          <w:lang w:eastAsia="zh-CN"/>
        </w:rPr>
        <w:t>12</w:t>
      </w:r>
      <w:r>
        <w:rPr>
          <w:rFonts w:hint="eastAsia"/>
          <w:lang w:eastAsia="zh-CN"/>
        </w:rP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rPr>
          <w:rFonts w:hint="eastAsia"/>
          <w:lang w:eastAsia="zh-CN"/>
        </w:rPr>
        <w:t>13</w:t>
      </w:r>
      <w:r>
        <w:rPr>
          <w:rFonts w:hint="eastAsia"/>
          <w:lang w:eastAsia="zh-CN"/>
        </w:rP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eastAsia="zh-CN"/>
        </w:rPr>
        <w:t>14</w:t>
      </w:r>
      <w:r>
        <w:rPr>
          <w:rFonts w:hint="eastAsia"/>
          <w:lang w:eastAsia="zh-CN"/>
        </w:rPr>
        <w:fldChar w:fldCharType="end"/>
      </w:r>
    </w:p>
    <w:p>
      <w:pPr>
        <w:pStyle w:val="7"/>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eastAsia="zh-CN"/>
        </w:rPr>
        <w:t>15</w:t>
      </w:r>
      <w:r>
        <w:rPr>
          <w:rFonts w:hint="eastAsia"/>
          <w:lang w:eastAsia="zh-CN"/>
        </w:rPr>
        <w:fldChar w:fldCharType="end"/>
      </w:r>
    </w:p>
    <w:p>
      <w:pPr>
        <w:pStyle w:val="7"/>
        <w:tabs>
          <w:tab w:val="right" w:leader="dot" w:pos="14562"/>
        </w:tabs>
      </w:pPr>
      <w:r>
        <w:fldChar w:fldCharType="begin"/>
      </w:r>
      <w:r>
        <w:instrText xml:space="preserve"> HYPERLINK \l "_Toc_3_3_0000000012" </w:instrText>
      </w:r>
      <w:r>
        <w:fldChar w:fldCharType="separate"/>
      </w:r>
      <w:r>
        <w:t>三、机关运行经费安排情况</w:t>
      </w:r>
      <w:r>
        <w:tab/>
      </w:r>
      <w:r>
        <w:rPr>
          <w:rFonts w:hint="eastAsia"/>
          <w:lang w:eastAsia="zh-CN"/>
        </w:rPr>
        <w:t>15</w:t>
      </w:r>
      <w:r>
        <w:rPr>
          <w:rFonts w:hint="eastAsia"/>
          <w:lang w:eastAsia="zh-CN"/>
        </w:rPr>
        <w:fldChar w:fldCharType="end"/>
      </w:r>
    </w:p>
    <w:p>
      <w:pPr>
        <w:pStyle w:val="7"/>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15</w:t>
      </w:r>
      <w:r>
        <w:rPr>
          <w:rFonts w:hint="eastAsia"/>
          <w:lang w:eastAsia="zh-CN"/>
        </w:rPr>
        <w:fldChar w:fldCharType="end"/>
      </w:r>
    </w:p>
    <w:p>
      <w:pPr>
        <w:pStyle w:val="7"/>
        <w:tabs>
          <w:tab w:val="right" w:leader="dot" w:pos="14562"/>
        </w:tabs>
      </w:pPr>
      <w:r>
        <w:fldChar w:fldCharType="begin"/>
      </w:r>
      <w:r>
        <w:instrText xml:space="preserve"> HYPERLINK \l "_Toc_3_3_0000000014" </w:instrText>
      </w:r>
      <w:r>
        <w:fldChar w:fldCharType="separate"/>
      </w:r>
      <w:r>
        <w:t>五、预算绩效信息</w:t>
      </w:r>
      <w:r>
        <w:tab/>
      </w:r>
      <w:r>
        <w:rPr>
          <w:rFonts w:hint="eastAsia"/>
          <w:lang w:eastAsia="zh-CN"/>
        </w:rPr>
        <w:t>16</w:t>
      </w:r>
      <w:r>
        <w:rPr>
          <w:rFonts w:hint="eastAsia"/>
          <w:lang w:eastAsia="zh-CN"/>
        </w:rPr>
        <w:fldChar w:fldCharType="end"/>
      </w:r>
    </w:p>
    <w:p>
      <w:pPr>
        <w:pStyle w:val="7"/>
        <w:tabs>
          <w:tab w:val="right" w:leader="dot" w:pos="14562"/>
        </w:tabs>
      </w:pPr>
      <w:r>
        <w:fldChar w:fldCharType="begin"/>
      </w:r>
      <w:r>
        <w:instrText xml:space="preserve"> HYPERLINK \l "_Toc_3_3_0000000015" </w:instrText>
      </w:r>
      <w:r>
        <w:fldChar w:fldCharType="separate"/>
      </w:r>
      <w:r>
        <w:t>六、政府采购预算情况</w:t>
      </w:r>
      <w:r>
        <w:tab/>
      </w:r>
      <w:r>
        <w:rPr>
          <w:rFonts w:hint="eastAsia"/>
          <w:lang w:eastAsia="zh-CN"/>
        </w:rPr>
        <w:t>21</w:t>
      </w:r>
      <w:r>
        <w:rPr>
          <w:rFonts w:hint="eastAsia"/>
          <w:lang w:eastAsia="zh-CN"/>
        </w:rPr>
        <w:fldChar w:fldCharType="end"/>
      </w:r>
    </w:p>
    <w:p>
      <w:pPr>
        <w:pStyle w:val="7"/>
        <w:tabs>
          <w:tab w:val="right" w:leader="dot" w:pos="14562"/>
        </w:tabs>
      </w:pPr>
      <w:r>
        <w:fldChar w:fldCharType="begin"/>
      </w:r>
      <w:r>
        <w:instrText xml:space="preserve"> HYPERLINK \l "_Toc_3_3_0000000016" </w:instrText>
      </w:r>
      <w:r>
        <w:fldChar w:fldCharType="separate"/>
      </w:r>
      <w:r>
        <w:t>七、国有资产信息</w:t>
      </w:r>
      <w:r>
        <w:tab/>
      </w:r>
      <w:r>
        <w:rPr>
          <w:rFonts w:hint="eastAsia"/>
          <w:lang w:eastAsia="zh-CN"/>
        </w:rPr>
        <w:t>21</w:t>
      </w:r>
      <w:r>
        <w:rPr>
          <w:rFonts w:hint="eastAsia"/>
          <w:lang w:eastAsia="zh-CN"/>
        </w:rPr>
        <w:fldChar w:fldCharType="end"/>
      </w:r>
    </w:p>
    <w:p>
      <w:pPr>
        <w:pStyle w:val="7"/>
        <w:tabs>
          <w:tab w:val="right" w:leader="dot" w:pos="14562"/>
        </w:tabs>
      </w:pPr>
      <w:r>
        <w:fldChar w:fldCharType="begin"/>
      </w:r>
      <w:r>
        <w:instrText xml:space="preserve"> HYPERLINK \l "_Toc_3_3_0000000017" </w:instrText>
      </w:r>
      <w:r>
        <w:fldChar w:fldCharType="separate"/>
      </w:r>
      <w:r>
        <w:t>八、名词解释</w:t>
      </w:r>
      <w:r>
        <w:tab/>
      </w:r>
      <w:r>
        <w:rPr>
          <w:rFonts w:hint="eastAsia"/>
          <w:lang w:eastAsia="zh-CN"/>
        </w:rPr>
        <w:t>22</w:t>
      </w:r>
      <w:r>
        <w:rPr>
          <w:rFonts w:hint="eastAsia"/>
          <w:lang w:eastAsia="zh-CN"/>
        </w:rPr>
        <w:fldChar w:fldCharType="end"/>
      </w:r>
    </w:p>
    <w:p>
      <w:pPr>
        <w:pStyle w:val="7"/>
        <w:tabs>
          <w:tab w:val="right" w:leader="dot" w:pos="14562"/>
        </w:tabs>
      </w:pPr>
      <w:r>
        <w:fldChar w:fldCharType="begin"/>
      </w:r>
      <w:r>
        <w:instrText xml:space="preserve"> HYPERLINK \l "_Toc_3_3_0000000018" </w:instrText>
      </w:r>
      <w:r>
        <w:fldChar w:fldCharType="separate"/>
      </w:r>
      <w:r>
        <w:t>九、其他需要说明的事项</w:t>
      </w:r>
      <w:r>
        <w:tab/>
      </w:r>
      <w:r>
        <w:rPr>
          <w:rFonts w:hint="eastAsia"/>
          <w:lang w:eastAsia="zh-CN"/>
        </w:rPr>
        <w:t>23</w:t>
      </w:r>
      <w:r>
        <w:rPr>
          <w:rFonts w:hint="eastAsia"/>
          <w:lang w:eastAsia="zh-CN"/>
        </w:rPr>
        <w:fldChar w:fldCharType="end"/>
      </w:r>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一百零二、霸州市堂二里镇四间房村中心小学收支预算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501616霸州市堂二里镇四间房村中心小学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383.93</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383.93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383.93</w:t>
            </w:r>
          </w:p>
        </w:tc>
        <w:tc>
          <w:tcPr>
            <w:tcW w:w="4535" w:type="dxa"/>
            <w:vAlign w:val="center"/>
          </w:tcPr>
          <w:p>
            <w:pPr>
              <w:pStyle w:val="24"/>
            </w:pPr>
            <w:r>
              <w:t>本年支出合计</w:t>
            </w:r>
          </w:p>
        </w:tc>
        <w:tc>
          <w:tcPr>
            <w:tcW w:w="2126" w:type="dxa"/>
            <w:vAlign w:val="center"/>
          </w:tcPr>
          <w:p>
            <w:pPr>
              <w:pStyle w:val="25"/>
            </w:pPr>
            <w:r>
              <w:t>383.93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383.93</w:t>
            </w:r>
          </w:p>
        </w:tc>
        <w:tc>
          <w:tcPr>
            <w:tcW w:w="4535" w:type="dxa"/>
            <w:vAlign w:val="center"/>
          </w:tcPr>
          <w:p>
            <w:pPr>
              <w:pStyle w:val="24"/>
            </w:pPr>
            <w:r>
              <w:t>支出总计</w:t>
            </w:r>
          </w:p>
        </w:tc>
        <w:tc>
          <w:tcPr>
            <w:tcW w:w="2126" w:type="dxa"/>
            <w:vAlign w:val="center"/>
          </w:tcPr>
          <w:p>
            <w:pPr>
              <w:pStyle w:val="25"/>
            </w:pPr>
            <w:r>
              <w:t>383.93</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501616霸州市堂二里镇四间房村中心小学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383.93</w:t>
            </w:r>
          </w:p>
        </w:tc>
        <w:tc>
          <w:tcPr>
            <w:tcW w:w="1134" w:type="dxa"/>
            <w:vAlign w:val="center"/>
          </w:tcPr>
          <w:p>
            <w:pPr>
              <w:pStyle w:val="25"/>
            </w:pPr>
            <w:r>
              <w:t>383.93</w:t>
            </w:r>
          </w:p>
        </w:tc>
        <w:tc>
          <w:tcPr>
            <w:tcW w:w="1134" w:type="dxa"/>
            <w:vAlign w:val="center"/>
          </w:tcPr>
          <w:p>
            <w:pPr>
              <w:pStyle w:val="25"/>
            </w:pPr>
            <w:r>
              <w:t>383.93</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383.93</w:t>
            </w:r>
          </w:p>
        </w:tc>
        <w:tc>
          <w:tcPr>
            <w:tcW w:w="1134" w:type="dxa"/>
            <w:vAlign w:val="center"/>
          </w:tcPr>
          <w:p>
            <w:pPr>
              <w:pStyle w:val="21"/>
            </w:pPr>
            <w:r>
              <w:t>383.93</w:t>
            </w:r>
          </w:p>
        </w:tc>
        <w:tc>
          <w:tcPr>
            <w:tcW w:w="1134" w:type="dxa"/>
            <w:vAlign w:val="center"/>
          </w:tcPr>
          <w:p>
            <w:pPr>
              <w:pStyle w:val="21"/>
            </w:pPr>
            <w:r>
              <w:t>383.93</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383.93</w:t>
            </w:r>
          </w:p>
        </w:tc>
        <w:tc>
          <w:tcPr>
            <w:tcW w:w="1134" w:type="dxa"/>
            <w:vAlign w:val="center"/>
          </w:tcPr>
          <w:p>
            <w:pPr>
              <w:pStyle w:val="21"/>
            </w:pPr>
            <w:r>
              <w:t>383.93</w:t>
            </w:r>
          </w:p>
        </w:tc>
        <w:tc>
          <w:tcPr>
            <w:tcW w:w="1134" w:type="dxa"/>
            <w:vAlign w:val="center"/>
          </w:tcPr>
          <w:p>
            <w:pPr>
              <w:pStyle w:val="21"/>
            </w:pPr>
            <w:r>
              <w:t>383.93</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2050201</w:t>
            </w:r>
          </w:p>
        </w:tc>
        <w:tc>
          <w:tcPr>
            <w:tcW w:w="1559" w:type="dxa"/>
            <w:vAlign w:val="center"/>
          </w:tcPr>
          <w:p>
            <w:pPr>
              <w:pStyle w:val="22"/>
            </w:pPr>
            <w:r>
              <w:t>学前教育</w:t>
            </w:r>
          </w:p>
        </w:tc>
        <w:tc>
          <w:tcPr>
            <w:tcW w:w="1134" w:type="dxa"/>
            <w:vAlign w:val="center"/>
          </w:tcPr>
          <w:p>
            <w:pPr>
              <w:pStyle w:val="21"/>
            </w:pPr>
            <w:r>
              <w:t>11.20</w:t>
            </w:r>
          </w:p>
        </w:tc>
        <w:tc>
          <w:tcPr>
            <w:tcW w:w="1134" w:type="dxa"/>
            <w:vAlign w:val="center"/>
          </w:tcPr>
          <w:p>
            <w:pPr>
              <w:pStyle w:val="21"/>
            </w:pPr>
            <w:r>
              <w:t>11.20</w:t>
            </w:r>
          </w:p>
        </w:tc>
        <w:tc>
          <w:tcPr>
            <w:tcW w:w="1134" w:type="dxa"/>
            <w:vAlign w:val="center"/>
          </w:tcPr>
          <w:p>
            <w:pPr>
              <w:pStyle w:val="21"/>
            </w:pPr>
            <w:r>
              <w:t>11.20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5</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372.73</w:t>
            </w:r>
          </w:p>
        </w:tc>
        <w:tc>
          <w:tcPr>
            <w:tcW w:w="1134" w:type="dxa"/>
            <w:vAlign w:val="center"/>
          </w:tcPr>
          <w:p>
            <w:pPr>
              <w:pStyle w:val="21"/>
            </w:pPr>
            <w:r>
              <w:t>372.73</w:t>
            </w:r>
          </w:p>
        </w:tc>
        <w:tc>
          <w:tcPr>
            <w:tcW w:w="1134" w:type="dxa"/>
            <w:vAlign w:val="center"/>
          </w:tcPr>
          <w:p>
            <w:pPr>
              <w:pStyle w:val="21"/>
            </w:pPr>
            <w:r>
              <w:t>372.73</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501616霸州市堂二里镇四间房村中心小学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383.93</w:t>
            </w:r>
          </w:p>
        </w:tc>
        <w:tc>
          <w:tcPr>
            <w:tcW w:w="1361" w:type="dxa"/>
            <w:vAlign w:val="center"/>
          </w:tcPr>
          <w:p>
            <w:pPr>
              <w:pStyle w:val="25"/>
            </w:pPr>
            <w:r>
              <w:t>350.48</w:t>
            </w:r>
          </w:p>
        </w:tc>
        <w:tc>
          <w:tcPr>
            <w:tcW w:w="1361" w:type="dxa"/>
            <w:vAlign w:val="center"/>
          </w:tcPr>
          <w:p>
            <w:pPr>
              <w:pStyle w:val="25"/>
            </w:pPr>
            <w:r>
              <w:t>33.45</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383.93</w:t>
            </w:r>
          </w:p>
        </w:tc>
        <w:tc>
          <w:tcPr>
            <w:tcW w:w="1361" w:type="dxa"/>
            <w:vAlign w:val="center"/>
          </w:tcPr>
          <w:p>
            <w:pPr>
              <w:pStyle w:val="21"/>
            </w:pPr>
            <w:r>
              <w:t>350.48</w:t>
            </w:r>
          </w:p>
        </w:tc>
        <w:tc>
          <w:tcPr>
            <w:tcW w:w="1361" w:type="dxa"/>
            <w:vAlign w:val="center"/>
          </w:tcPr>
          <w:p>
            <w:pPr>
              <w:pStyle w:val="21"/>
            </w:pPr>
            <w:r>
              <w:t>33.45</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383.93</w:t>
            </w:r>
          </w:p>
        </w:tc>
        <w:tc>
          <w:tcPr>
            <w:tcW w:w="1361" w:type="dxa"/>
            <w:vAlign w:val="center"/>
          </w:tcPr>
          <w:p>
            <w:pPr>
              <w:pStyle w:val="21"/>
            </w:pPr>
            <w:r>
              <w:t>350.48</w:t>
            </w:r>
          </w:p>
        </w:tc>
        <w:tc>
          <w:tcPr>
            <w:tcW w:w="1361" w:type="dxa"/>
            <w:vAlign w:val="center"/>
          </w:tcPr>
          <w:p>
            <w:pPr>
              <w:pStyle w:val="21"/>
            </w:pPr>
            <w:r>
              <w:t>33.45</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2050201</w:t>
            </w:r>
          </w:p>
        </w:tc>
        <w:tc>
          <w:tcPr>
            <w:tcW w:w="4535" w:type="dxa"/>
            <w:vAlign w:val="center"/>
          </w:tcPr>
          <w:p>
            <w:pPr>
              <w:pStyle w:val="22"/>
            </w:pPr>
            <w:r>
              <w:t>学前教育</w:t>
            </w:r>
          </w:p>
        </w:tc>
        <w:tc>
          <w:tcPr>
            <w:tcW w:w="1361" w:type="dxa"/>
            <w:vAlign w:val="center"/>
          </w:tcPr>
          <w:p>
            <w:pPr>
              <w:pStyle w:val="21"/>
            </w:pPr>
            <w:r>
              <w:t>11.20</w:t>
            </w:r>
          </w:p>
        </w:tc>
        <w:tc>
          <w:tcPr>
            <w:tcW w:w="1361" w:type="dxa"/>
            <w:vAlign w:val="center"/>
          </w:tcPr>
          <w:p>
            <w:pPr>
              <w:pStyle w:val="21"/>
            </w:pPr>
            <w:r>
              <w:t>1.60</w:t>
            </w:r>
          </w:p>
        </w:tc>
        <w:tc>
          <w:tcPr>
            <w:tcW w:w="1361" w:type="dxa"/>
            <w:vAlign w:val="center"/>
          </w:tcPr>
          <w:p>
            <w:pPr>
              <w:pStyle w:val="21"/>
            </w:pPr>
            <w:r>
              <w:t>9.60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372.73</w:t>
            </w:r>
          </w:p>
        </w:tc>
        <w:tc>
          <w:tcPr>
            <w:tcW w:w="1361" w:type="dxa"/>
            <w:vAlign w:val="center"/>
          </w:tcPr>
          <w:p>
            <w:pPr>
              <w:pStyle w:val="21"/>
            </w:pPr>
            <w:r>
              <w:t>348.88</w:t>
            </w:r>
          </w:p>
        </w:tc>
        <w:tc>
          <w:tcPr>
            <w:tcW w:w="1361" w:type="dxa"/>
            <w:vAlign w:val="center"/>
          </w:tcPr>
          <w:p>
            <w:pPr>
              <w:pStyle w:val="21"/>
            </w:pPr>
            <w:r>
              <w:t>23.85</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501616霸州市堂二里镇四间房村中心小学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383.93</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383.93</w:t>
            </w:r>
          </w:p>
        </w:tc>
        <w:tc>
          <w:tcPr>
            <w:tcW w:w="1474" w:type="dxa"/>
            <w:vAlign w:val="center"/>
          </w:tcPr>
          <w:p>
            <w:pPr>
              <w:pStyle w:val="21"/>
            </w:pPr>
            <w:r>
              <w:t>383.93</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383.93</w:t>
            </w:r>
          </w:p>
        </w:tc>
        <w:tc>
          <w:tcPr>
            <w:tcW w:w="3402" w:type="dxa"/>
            <w:vAlign w:val="center"/>
          </w:tcPr>
          <w:p>
            <w:pPr>
              <w:pStyle w:val="24"/>
            </w:pPr>
            <w:r>
              <w:t>本年支出合计</w:t>
            </w:r>
          </w:p>
        </w:tc>
        <w:tc>
          <w:tcPr>
            <w:tcW w:w="1474" w:type="dxa"/>
            <w:vAlign w:val="center"/>
          </w:tcPr>
          <w:p>
            <w:pPr>
              <w:pStyle w:val="25"/>
            </w:pPr>
            <w:r>
              <w:t>383.93</w:t>
            </w:r>
          </w:p>
        </w:tc>
        <w:tc>
          <w:tcPr>
            <w:tcW w:w="1474" w:type="dxa"/>
            <w:vAlign w:val="center"/>
          </w:tcPr>
          <w:p>
            <w:pPr>
              <w:pStyle w:val="25"/>
            </w:pPr>
            <w:r>
              <w:t>383.93</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383.93</w:t>
            </w:r>
          </w:p>
        </w:tc>
        <w:tc>
          <w:tcPr>
            <w:tcW w:w="3402" w:type="dxa"/>
            <w:vAlign w:val="center"/>
          </w:tcPr>
          <w:p>
            <w:pPr>
              <w:pStyle w:val="24"/>
            </w:pPr>
            <w:r>
              <w:t>支出总计</w:t>
            </w:r>
          </w:p>
        </w:tc>
        <w:tc>
          <w:tcPr>
            <w:tcW w:w="1474" w:type="dxa"/>
            <w:vAlign w:val="center"/>
          </w:tcPr>
          <w:p>
            <w:pPr>
              <w:pStyle w:val="25"/>
            </w:pPr>
            <w:r>
              <w:t>383.93</w:t>
            </w:r>
          </w:p>
        </w:tc>
        <w:tc>
          <w:tcPr>
            <w:tcW w:w="1474" w:type="dxa"/>
            <w:vAlign w:val="center"/>
          </w:tcPr>
          <w:p>
            <w:pPr>
              <w:pStyle w:val="25"/>
            </w:pPr>
            <w:r>
              <w:t>383.93</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501616霸州市堂二里镇四间房村中心小学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383.93</w:t>
            </w:r>
          </w:p>
        </w:tc>
        <w:tc>
          <w:tcPr>
            <w:tcW w:w="2551" w:type="dxa"/>
            <w:vAlign w:val="center"/>
          </w:tcPr>
          <w:p>
            <w:pPr>
              <w:pStyle w:val="25"/>
            </w:pPr>
            <w:r>
              <w:t>350.48</w:t>
            </w:r>
          </w:p>
        </w:tc>
        <w:tc>
          <w:tcPr>
            <w:tcW w:w="2551" w:type="dxa"/>
            <w:vAlign w:val="center"/>
          </w:tcPr>
          <w:p>
            <w:pPr>
              <w:pStyle w:val="25"/>
            </w:pPr>
            <w:r>
              <w:t>33.45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383.93</w:t>
            </w:r>
          </w:p>
        </w:tc>
        <w:tc>
          <w:tcPr>
            <w:tcW w:w="2551" w:type="dxa"/>
            <w:vAlign w:val="center"/>
          </w:tcPr>
          <w:p>
            <w:pPr>
              <w:pStyle w:val="21"/>
            </w:pPr>
            <w:r>
              <w:t>350.48</w:t>
            </w:r>
          </w:p>
        </w:tc>
        <w:tc>
          <w:tcPr>
            <w:tcW w:w="2551" w:type="dxa"/>
            <w:vAlign w:val="center"/>
          </w:tcPr>
          <w:p>
            <w:pPr>
              <w:pStyle w:val="21"/>
            </w:pPr>
            <w:r>
              <w:t>33.45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383.93</w:t>
            </w:r>
          </w:p>
        </w:tc>
        <w:tc>
          <w:tcPr>
            <w:tcW w:w="2551" w:type="dxa"/>
            <w:vAlign w:val="center"/>
          </w:tcPr>
          <w:p>
            <w:pPr>
              <w:pStyle w:val="21"/>
            </w:pPr>
            <w:r>
              <w:t>350.48</w:t>
            </w:r>
          </w:p>
        </w:tc>
        <w:tc>
          <w:tcPr>
            <w:tcW w:w="2551" w:type="dxa"/>
            <w:vAlign w:val="center"/>
          </w:tcPr>
          <w:p>
            <w:pPr>
              <w:pStyle w:val="21"/>
            </w:pPr>
            <w:r>
              <w:t>33.45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2050201</w:t>
            </w:r>
          </w:p>
        </w:tc>
        <w:tc>
          <w:tcPr>
            <w:tcW w:w="4535" w:type="dxa"/>
            <w:vAlign w:val="center"/>
          </w:tcPr>
          <w:p>
            <w:pPr>
              <w:pStyle w:val="22"/>
            </w:pPr>
            <w:r>
              <w:t>学前教育</w:t>
            </w:r>
          </w:p>
        </w:tc>
        <w:tc>
          <w:tcPr>
            <w:tcW w:w="2551" w:type="dxa"/>
            <w:vAlign w:val="center"/>
          </w:tcPr>
          <w:p>
            <w:pPr>
              <w:pStyle w:val="21"/>
            </w:pPr>
            <w:r>
              <w:t>11.20</w:t>
            </w:r>
          </w:p>
        </w:tc>
        <w:tc>
          <w:tcPr>
            <w:tcW w:w="2551" w:type="dxa"/>
            <w:vAlign w:val="center"/>
          </w:tcPr>
          <w:p>
            <w:pPr>
              <w:pStyle w:val="21"/>
            </w:pPr>
            <w:r>
              <w:t>1.60</w:t>
            </w:r>
          </w:p>
        </w:tc>
        <w:tc>
          <w:tcPr>
            <w:tcW w:w="2551" w:type="dxa"/>
            <w:vAlign w:val="center"/>
          </w:tcPr>
          <w:p>
            <w:pPr>
              <w:pStyle w:val="21"/>
            </w:pPr>
            <w:r>
              <w:t>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372.73</w:t>
            </w:r>
          </w:p>
        </w:tc>
        <w:tc>
          <w:tcPr>
            <w:tcW w:w="2551" w:type="dxa"/>
            <w:vAlign w:val="center"/>
          </w:tcPr>
          <w:p>
            <w:pPr>
              <w:pStyle w:val="21"/>
            </w:pPr>
            <w:r>
              <w:t>348.88</w:t>
            </w:r>
          </w:p>
        </w:tc>
        <w:tc>
          <w:tcPr>
            <w:tcW w:w="2551" w:type="dxa"/>
            <w:vAlign w:val="center"/>
          </w:tcPr>
          <w:p>
            <w:pPr>
              <w:pStyle w:val="21"/>
            </w:pPr>
            <w:r>
              <w:t>23.85</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501616霸州市堂二里镇四间房村中心小学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350.48</w:t>
            </w:r>
          </w:p>
        </w:tc>
        <w:tc>
          <w:tcPr>
            <w:tcW w:w="2551" w:type="dxa"/>
            <w:vAlign w:val="center"/>
          </w:tcPr>
          <w:p>
            <w:pPr>
              <w:pStyle w:val="25"/>
            </w:pPr>
            <w:r>
              <w:t>343.87</w:t>
            </w:r>
          </w:p>
        </w:tc>
        <w:tc>
          <w:tcPr>
            <w:tcW w:w="2551" w:type="dxa"/>
            <w:vAlign w:val="center"/>
          </w:tcPr>
          <w:p>
            <w:pPr>
              <w:pStyle w:val="25"/>
            </w:pPr>
            <w:r>
              <w:t>6.61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294.06</w:t>
            </w:r>
          </w:p>
        </w:tc>
        <w:tc>
          <w:tcPr>
            <w:tcW w:w="2551" w:type="dxa"/>
            <w:vAlign w:val="center"/>
          </w:tcPr>
          <w:p>
            <w:pPr>
              <w:pStyle w:val="21"/>
            </w:pPr>
            <w:r>
              <w:t>294.06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85.90</w:t>
            </w:r>
          </w:p>
        </w:tc>
        <w:tc>
          <w:tcPr>
            <w:tcW w:w="2551" w:type="dxa"/>
            <w:vAlign w:val="center"/>
          </w:tcPr>
          <w:p>
            <w:pPr>
              <w:pStyle w:val="21"/>
            </w:pPr>
            <w:r>
              <w:t>85.90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19.65</w:t>
            </w:r>
          </w:p>
        </w:tc>
        <w:tc>
          <w:tcPr>
            <w:tcW w:w="2551" w:type="dxa"/>
            <w:vAlign w:val="center"/>
          </w:tcPr>
          <w:p>
            <w:pPr>
              <w:pStyle w:val="21"/>
            </w:pPr>
            <w:r>
              <w:t>19.65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109.13</w:t>
            </w:r>
          </w:p>
        </w:tc>
        <w:tc>
          <w:tcPr>
            <w:tcW w:w="2551" w:type="dxa"/>
            <w:vAlign w:val="center"/>
          </w:tcPr>
          <w:p>
            <w:pPr>
              <w:pStyle w:val="21"/>
            </w:pPr>
            <w:r>
              <w:t>109.13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27.03</w:t>
            </w:r>
          </w:p>
        </w:tc>
        <w:tc>
          <w:tcPr>
            <w:tcW w:w="2551" w:type="dxa"/>
            <w:vAlign w:val="center"/>
          </w:tcPr>
          <w:p>
            <w:pPr>
              <w:pStyle w:val="21"/>
            </w:pPr>
            <w:r>
              <w:t>27.03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6.04</w:t>
            </w:r>
          </w:p>
        </w:tc>
        <w:tc>
          <w:tcPr>
            <w:tcW w:w="2551" w:type="dxa"/>
            <w:vAlign w:val="center"/>
          </w:tcPr>
          <w:p>
            <w:pPr>
              <w:pStyle w:val="21"/>
            </w:pPr>
            <w:r>
              <w:t>6.04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7.80</w:t>
            </w:r>
          </w:p>
        </w:tc>
        <w:tc>
          <w:tcPr>
            <w:tcW w:w="2551" w:type="dxa"/>
            <w:vAlign w:val="center"/>
          </w:tcPr>
          <w:p>
            <w:pPr>
              <w:pStyle w:val="21"/>
            </w:pPr>
            <w:r>
              <w:t>7.80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1.94</w:t>
            </w:r>
          </w:p>
        </w:tc>
        <w:tc>
          <w:tcPr>
            <w:tcW w:w="2551" w:type="dxa"/>
            <w:vAlign w:val="center"/>
          </w:tcPr>
          <w:p>
            <w:pPr>
              <w:pStyle w:val="21"/>
            </w:pPr>
            <w:r>
              <w:t>1.94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21.98</w:t>
            </w:r>
          </w:p>
        </w:tc>
        <w:tc>
          <w:tcPr>
            <w:tcW w:w="2551" w:type="dxa"/>
            <w:vAlign w:val="center"/>
          </w:tcPr>
          <w:p>
            <w:pPr>
              <w:pStyle w:val="21"/>
            </w:pPr>
            <w:r>
              <w:t>21.98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14.59</w:t>
            </w:r>
          </w:p>
        </w:tc>
        <w:tc>
          <w:tcPr>
            <w:tcW w:w="2551" w:type="dxa"/>
            <w:vAlign w:val="center"/>
          </w:tcPr>
          <w:p>
            <w:pPr>
              <w:pStyle w:val="21"/>
            </w:pPr>
            <w:r>
              <w:t>14.59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6.61</w:t>
            </w:r>
          </w:p>
        </w:tc>
        <w:tc>
          <w:tcPr>
            <w:tcW w:w="2551" w:type="dxa"/>
            <w:vAlign w:val="center"/>
          </w:tcPr>
          <w:p>
            <w:pPr>
              <w:pStyle w:val="21"/>
            </w:pPr>
          </w:p>
        </w:tc>
        <w:tc>
          <w:tcPr>
            <w:tcW w:w="2551" w:type="dxa"/>
            <w:vAlign w:val="center"/>
          </w:tcPr>
          <w:p>
            <w:pPr>
              <w:pStyle w:val="21"/>
            </w:pPr>
            <w:r>
              <w:t>6.61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30201</w:t>
            </w:r>
          </w:p>
        </w:tc>
        <w:tc>
          <w:tcPr>
            <w:tcW w:w="4535" w:type="dxa"/>
            <w:vAlign w:val="center"/>
          </w:tcPr>
          <w:p>
            <w:pPr>
              <w:pStyle w:val="22"/>
            </w:pPr>
            <w:r>
              <w:t>办公费</w:t>
            </w:r>
          </w:p>
        </w:tc>
        <w:tc>
          <w:tcPr>
            <w:tcW w:w="2551" w:type="dxa"/>
            <w:vAlign w:val="center"/>
          </w:tcPr>
          <w:p>
            <w:pPr>
              <w:pStyle w:val="21"/>
            </w:pPr>
            <w:r>
              <w:t>1.60</w:t>
            </w:r>
          </w:p>
        </w:tc>
        <w:tc>
          <w:tcPr>
            <w:tcW w:w="2551" w:type="dxa"/>
            <w:vAlign w:val="center"/>
          </w:tcPr>
          <w:p>
            <w:pPr>
              <w:pStyle w:val="21"/>
            </w:pPr>
          </w:p>
        </w:tc>
        <w:tc>
          <w:tcPr>
            <w:tcW w:w="2551" w:type="dxa"/>
            <w:vAlign w:val="center"/>
          </w:tcPr>
          <w:p>
            <w:pPr>
              <w:pStyle w:val="21"/>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2.89</w:t>
            </w:r>
          </w:p>
        </w:tc>
        <w:tc>
          <w:tcPr>
            <w:tcW w:w="2551" w:type="dxa"/>
            <w:vAlign w:val="center"/>
          </w:tcPr>
          <w:p>
            <w:pPr>
              <w:pStyle w:val="21"/>
            </w:pPr>
          </w:p>
        </w:tc>
        <w:tc>
          <w:tcPr>
            <w:tcW w:w="2551" w:type="dxa"/>
            <w:vAlign w:val="center"/>
          </w:tcPr>
          <w:p>
            <w:pPr>
              <w:pStyle w:val="21"/>
            </w:pPr>
            <w:r>
              <w:t>2.89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2.12</w:t>
            </w:r>
          </w:p>
        </w:tc>
        <w:tc>
          <w:tcPr>
            <w:tcW w:w="2551" w:type="dxa"/>
            <w:vAlign w:val="center"/>
          </w:tcPr>
          <w:p>
            <w:pPr>
              <w:pStyle w:val="21"/>
            </w:pPr>
          </w:p>
        </w:tc>
        <w:tc>
          <w:tcPr>
            <w:tcW w:w="2551" w:type="dxa"/>
            <w:vAlign w:val="center"/>
          </w:tcPr>
          <w:p>
            <w:pPr>
              <w:pStyle w:val="21"/>
            </w:pPr>
            <w:r>
              <w:t>2.12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49.81</w:t>
            </w:r>
          </w:p>
        </w:tc>
        <w:tc>
          <w:tcPr>
            <w:tcW w:w="2551" w:type="dxa"/>
            <w:vAlign w:val="center"/>
          </w:tcPr>
          <w:p>
            <w:pPr>
              <w:pStyle w:val="21"/>
            </w:pPr>
            <w:r>
              <w:t>49.81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32.52</w:t>
            </w:r>
          </w:p>
        </w:tc>
        <w:tc>
          <w:tcPr>
            <w:tcW w:w="2551" w:type="dxa"/>
            <w:vAlign w:val="center"/>
          </w:tcPr>
          <w:p>
            <w:pPr>
              <w:pStyle w:val="21"/>
            </w:pPr>
            <w:r>
              <w:t>32.52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17.19</w:t>
            </w:r>
          </w:p>
        </w:tc>
        <w:tc>
          <w:tcPr>
            <w:tcW w:w="2551" w:type="dxa"/>
            <w:vAlign w:val="center"/>
          </w:tcPr>
          <w:p>
            <w:pPr>
              <w:pStyle w:val="21"/>
            </w:pPr>
            <w:r>
              <w:t>17.19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0.10</w:t>
            </w:r>
          </w:p>
        </w:tc>
        <w:tc>
          <w:tcPr>
            <w:tcW w:w="2551" w:type="dxa"/>
            <w:vAlign w:val="center"/>
          </w:tcPr>
          <w:p>
            <w:pPr>
              <w:pStyle w:val="21"/>
            </w:pPr>
            <w:r>
              <w:t>0.10</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501616霸州市堂二里镇四间房村中心小学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501616霸州市堂二里镇四间房村中心小学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501616霸州市堂二里镇四间房村中心小学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1</w:t>
            </w:r>
          </w:p>
        </w:tc>
        <w:tc>
          <w:tcPr>
            <w:tcW w:w="3798" w:type="dxa"/>
            <w:vAlign w:val="center"/>
          </w:tcPr>
          <w:p>
            <w:pPr>
              <w:pStyle w:val="24"/>
            </w:pPr>
            <w:r>
              <w:t>合计</w:t>
            </w:r>
          </w:p>
        </w:tc>
        <w:tc>
          <w:tcPr>
            <w:tcW w:w="2382" w:type="dxa"/>
            <w:vAlign w:val="center"/>
          </w:tcPr>
          <w:p>
            <w:pPr>
              <w:pStyle w:val="25"/>
            </w:pPr>
            <w:r>
              <w:t>0.00</w:t>
            </w:r>
          </w:p>
        </w:tc>
        <w:tc>
          <w:tcPr>
            <w:tcW w:w="2381" w:type="dxa"/>
            <w:vAlign w:val="center"/>
          </w:tcPr>
          <w:p>
            <w:pPr>
              <w:pStyle w:val="25"/>
              <w:rPr>
                <w:lang w:eastAsia="zh-CN"/>
              </w:rPr>
            </w:pPr>
            <w:r>
              <w:rPr>
                <w:rFonts w:hint="eastAsia"/>
                <w:lang w:eastAsia="zh-CN"/>
              </w:rPr>
              <w:t>0.00</w:t>
            </w: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2</w:t>
            </w:r>
          </w:p>
        </w:tc>
        <w:tc>
          <w:tcPr>
            <w:tcW w:w="3798" w:type="dxa"/>
            <w:vAlign w:val="center"/>
          </w:tcPr>
          <w:p>
            <w:pPr>
              <w:pStyle w:val="22"/>
            </w:pPr>
            <w:r>
              <w:t>一、因公出国（境）费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3</w:t>
            </w:r>
          </w:p>
        </w:tc>
        <w:tc>
          <w:tcPr>
            <w:tcW w:w="3798" w:type="dxa"/>
            <w:vAlign w:val="center"/>
          </w:tcPr>
          <w:p>
            <w:pPr>
              <w:pStyle w:val="22"/>
            </w:pPr>
            <w:r>
              <w:t xml:space="preserve">    其中：教学科研人员因公出国（境）费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4</w:t>
            </w:r>
          </w:p>
        </w:tc>
        <w:tc>
          <w:tcPr>
            <w:tcW w:w="3798" w:type="dxa"/>
            <w:vAlign w:val="center"/>
          </w:tcPr>
          <w:p>
            <w:pPr>
              <w:pStyle w:val="22"/>
            </w:pPr>
            <w:r>
              <w:t xml:space="preserve">          其他因公出国（境）费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5</w:t>
            </w:r>
          </w:p>
        </w:tc>
        <w:tc>
          <w:tcPr>
            <w:tcW w:w="3798" w:type="dxa"/>
            <w:vAlign w:val="center"/>
          </w:tcPr>
          <w:p>
            <w:pPr>
              <w:pStyle w:val="22"/>
            </w:pPr>
            <w:r>
              <w:t>二、公务用车购置及运维费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6</w:t>
            </w:r>
          </w:p>
        </w:tc>
        <w:tc>
          <w:tcPr>
            <w:tcW w:w="3798" w:type="dxa"/>
            <w:vAlign w:val="center"/>
          </w:tcPr>
          <w:p>
            <w:pPr>
              <w:pStyle w:val="22"/>
            </w:pPr>
            <w:r>
              <w:t xml:space="preserve">    其中：公务用车购置费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7</w:t>
            </w:r>
          </w:p>
        </w:tc>
        <w:tc>
          <w:tcPr>
            <w:tcW w:w="3798" w:type="dxa"/>
            <w:vAlign w:val="center"/>
          </w:tcPr>
          <w:p>
            <w:pPr>
              <w:pStyle w:val="22"/>
            </w:pPr>
            <w:r>
              <w:t xml:space="preserve">          公务用车运行维护费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8</w:t>
            </w:r>
          </w:p>
        </w:tc>
        <w:tc>
          <w:tcPr>
            <w:tcW w:w="3798" w:type="dxa"/>
            <w:vAlign w:val="center"/>
          </w:tcPr>
          <w:p>
            <w:pPr>
              <w:pStyle w:val="22"/>
            </w:pPr>
            <w:r>
              <w:t>三、公务接待费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霸州市堂二里镇四间房村中心小学2023年单位预算信息公开情况说明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按照《预算法》、《地方预决算公开操作规程》和《关于进一步推进预算公开工作的实施意见》规定，现将霸州市堂二里镇四间房村中心小学2023年单位预算公开如下：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ind w:firstLine="640"/>
        <w:rPr>
          <w:rFonts w:hint="eastAsia" w:eastAsia="方正仿宋_GBK"/>
          <w:lang w:val="en-US" w:eastAsia="zh-CN"/>
        </w:rPr>
      </w:pPr>
      <w:r>
        <w:rPr>
          <w:rFonts w:hint="eastAsia" w:ascii="Times New Roman" w:hAnsi="Times New Roman" w:eastAsia="方正仿宋_GBK" w:cs="Times New Roman"/>
          <w:b w:val="0"/>
          <w:bCs w:val="0"/>
          <w:caps w:val="0"/>
          <w:color w:val="000000"/>
          <w:kern w:val="0"/>
          <w:sz w:val="28"/>
          <w:szCs w:val="24"/>
          <w:u w:val="none"/>
          <w:lang w:val="en-US" w:eastAsia="uk-UA" w:bidi="ar-SA"/>
        </w:rPr>
        <w:t>实施义务教育，促进基础教育发展。小学学历教育</w:t>
      </w:r>
      <w:r>
        <w:rPr>
          <w:rFonts w:hint="eastAsia" w:eastAsia="方正仿宋_GBK" w:cs="Times New Roman"/>
          <w:b w:val="0"/>
          <w:bCs w:val="0"/>
          <w:caps w:val="0"/>
          <w:color w:val="000000"/>
          <w:kern w:val="0"/>
          <w:sz w:val="28"/>
          <w:szCs w:val="24"/>
          <w:u w:val="none"/>
          <w:lang w:val="en-US" w:eastAsia="zh-CN" w:bidi="ar-SA"/>
        </w:rPr>
        <w:t>。</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霸州市堂二里镇四间房村中心小学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hint="eastAsia" w:ascii="方正仿宋_GBK"/>
          <w:lang w:eastAsia="zh-CN"/>
        </w:rPr>
        <w:t>383.93</w:t>
      </w:r>
      <w:r>
        <w:rPr>
          <w:rFonts w:hint="eastAsia" w:ascii="方正仿宋_GBK"/>
        </w:rPr>
        <w:t>万元，其中：一般公共预算收入</w:t>
      </w:r>
      <w:r>
        <w:rPr>
          <w:rFonts w:hint="eastAsia" w:ascii="方正仿宋_GBK"/>
          <w:lang w:eastAsia="zh-CN"/>
        </w:rPr>
        <w:t>383.93</w:t>
      </w:r>
      <w:r>
        <w:rPr>
          <w:rFonts w:hint="eastAsia" w:ascii="方正仿宋_GBK"/>
        </w:rPr>
        <w:t>万元，基金预算收入</w:t>
      </w:r>
      <w:r>
        <w:rPr>
          <w:rFonts w:hint="eastAsia" w:ascii="方正仿宋_GBK"/>
          <w:lang w:eastAsia="zh-CN"/>
        </w:rPr>
        <w:t>0</w:t>
      </w:r>
      <w:r>
        <w:rPr>
          <w:rFonts w:hint="eastAsia" w:ascii="方正仿宋_GBK"/>
        </w:rPr>
        <w:t>万元，财政专户核拨收入</w:t>
      </w:r>
      <w:r>
        <w:rPr>
          <w:rFonts w:hint="eastAsia" w:ascii="方正仿宋_GBK"/>
          <w:lang w:eastAsia="zh-CN"/>
        </w:rPr>
        <w:t>0</w:t>
      </w:r>
      <w:r>
        <w:rPr>
          <w:rFonts w:hint="eastAsia" w:ascii="方正仿宋_GBK"/>
        </w:rPr>
        <w:t>万元，其他来源收入</w:t>
      </w:r>
      <w:r>
        <w:rPr>
          <w:rFonts w:hint="eastAsia" w:ascii="方正仿宋_GBK"/>
          <w:lang w:eastAsia="zh-CN"/>
        </w:rPr>
        <w:t>0</w:t>
      </w:r>
      <w:r>
        <w:rPr>
          <w:rFonts w:hint="eastAsia" w:ascii="方正仿宋_GBK"/>
        </w:rPr>
        <w:t>万元，上年结转</w:t>
      </w:r>
      <w:r>
        <w:rPr>
          <w:rFonts w:hint="eastAsia" w:ascii="方正仿宋_GBK"/>
          <w:lang w:eastAsia="zh-CN"/>
        </w:rPr>
        <w:t>0</w:t>
      </w:r>
      <w:r>
        <w:rPr>
          <w:rFonts w:hint="eastAsia" w:ascii="方正仿宋_GBK"/>
        </w:rPr>
        <w:t>万元</w:t>
      </w:r>
      <w:r>
        <w:rPr>
          <w:rFonts w:hint="eastAsia" w:ascii="方正仿宋_GBK"/>
          <w:lang w:eastAsia="zh-CN"/>
        </w:rPr>
        <w:t>0</w:t>
      </w:r>
      <w:r>
        <w:rPr>
          <w:rFonts w:hint="eastAsia" w:ascii="方正仿宋_GBK"/>
        </w:rPr>
        <w:t>。</w:t>
      </w:r>
    </w:p>
    <w:p>
      <w:pPr>
        <w:pStyle w:val="36"/>
        <w:jc w:val="both"/>
        <w:rPr>
          <w:rFonts w:ascii="方正仿宋_GBK"/>
        </w:rPr>
      </w:pPr>
      <w:r>
        <w:rPr>
          <w:rFonts w:hint="eastAsia" w:ascii="方正仿宋_GBK"/>
        </w:rPr>
        <w:t>2、支出说明</w:t>
      </w:r>
    </w:p>
    <w:p>
      <w:pPr>
        <w:pStyle w:val="36"/>
        <w:jc w:val="both"/>
        <w:rPr>
          <w:rFonts w:ascii="方正仿宋_GBK"/>
        </w:rPr>
      </w:pPr>
      <w:r>
        <w:rPr>
          <w:rFonts w:hint="eastAsia" w:ascii="方正仿宋_GBK"/>
        </w:rPr>
        <w:t>收支预算总表支出栏、基本支出表、项目支出表按经济分类和支出功能分类科目编制，反映霸州市XX单位2023年度单位预算中支出预算的总体情况。2023年支出预算</w:t>
      </w:r>
      <w:r>
        <w:rPr>
          <w:rFonts w:hint="eastAsia" w:ascii="方正仿宋_GBK"/>
          <w:lang w:eastAsia="zh-CN"/>
        </w:rPr>
        <w:t>383.93</w:t>
      </w:r>
      <w:r>
        <w:rPr>
          <w:rFonts w:hint="eastAsia" w:ascii="方正仿宋_GBK"/>
        </w:rPr>
        <w:t>万元，其中：基本支出</w:t>
      </w:r>
      <w:r>
        <w:rPr>
          <w:rFonts w:hint="eastAsia" w:ascii="方正仿宋_GBK"/>
          <w:lang w:eastAsia="zh-CN"/>
        </w:rPr>
        <w:t>350.48</w:t>
      </w:r>
      <w:r>
        <w:rPr>
          <w:rFonts w:hint="eastAsia" w:ascii="方正仿宋_GBK"/>
        </w:rPr>
        <w:t>万元，包括人员经费</w:t>
      </w:r>
      <w:r>
        <w:rPr>
          <w:rFonts w:hint="eastAsia" w:ascii="方正仿宋_GBK"/>
          <w:lang w:eastAsia="zh-CN"/>
        </w:rPr>
        <w:t>343.87</w:t>
      </w:r>
      <w:r>
        <w:rPr>
          <w:rFonts w:hint="eastAsia" w:ascii="方正仿宋_GBK"/>
        </w:rPr>
        <w:t>万元和日常公用经费</w:t>
      </w:r>
      <w:r>
        <w:rPr>
          <w:rFonts w:hint="eastAsia" w:ascii="方正仿宋_GBK"/>
          <w:lang w:eastAsia="zh-CN"/>
        </w:rPr>
        <w:t>6.61</w:t>
      </w:r>
      <w:r>
        <w:rPr>
          <w:rFonts w:hint="eastAsia" w:ascii="方正仿宋_GBK"/>
        </w:rPr>
        <w:t>万元；项目支出</w:t>
      </w:r>
      <w:r>
        <w:rPr>
          <w:rFonts w:hint="eastAsia" w:ascii="方正仿宋_GBK"/>
          <w:lang w:eastAsia="zh-CN"/>
        </w:rPr>
        <w:t>33.45</w:t>
      </w:r>
      <w:r>
        <w:rPr>
          <w:rFonts w:hint="eastAsia" w:ascii="方正仿宋_GBK"/>
        </w:rPr>
        <w:t>万元，主要为：</w:t>
      </w:r>
      <w:r>
        <w:rPr>
          <w:rFonts w:hint="eastAsia" w:ascii="方正仿宋_GBK"/>
          <w:lang w:eastAsia="zh-CN"/>
        </w:rPr>
        <w:t>人员经费，公用经费，购置固定资产资金</w:t>
      </w:r>
      <w:r>
        <w:rPr>
          <w:rFonts w:hint="eastAsia" w:ascii="方正仿宋_GBK"/>
        </w:rPr>
        <w:t>。</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w:t>
      </w:r>
      <w:r>
        <w:rPr>
          <w:rFonts w:hint="eastAsia" w:ascii="方正仿宋_GBK"/>
          <w:lang w:eastAsia="zh-CN"/>
        </w:rPr>
        <w:t>383.93</w:t>
      </w:r>
      <w:r>
        <w:rPr>
          <w:rFonts w:hint="eastAsia" w:ascii="方正仿宋_GBK"/>
        </w:rPr>
        <w:t>万元，较2022年预算增加</w:t>
      </w:r>
      <w:r>
        <w:rPr>
          <w:rFonts w:hint="eastAsia" w:ascii="方正仿宋_GBK"/>
          <w:lang w:eastAsia="zh-CN"/>
        </w:rPr>
        <w:t>39.86</w:t>
      </w:r>
      <w:r>
        <w:rPr>
          <w:rFonts w:hint="eastAsia" w:ascii="方正仿宋_GBK"/>
        </w:rPr>
        <w:t>万元，其中：基本支出增加</w:t>
      </w:r>
      <w:r>
        <w:rPr>
          <w:rFonts w:hint="eastAsia" w:ascii="方正仿宋_GBK"/>
          <w:lang w:eastAsia="zh-CN"/>
        </w:rPr>
        <w:t>54.31</w:t>
      </w:r>
      <w:r>
        <w:rPr>
          <w:rFonts w:hint="eastAsia" w:ascii="方正仿宋_GBK"/>
        </w:rPr>
        <w:t>万元，主要为</w:t>
      </w:r>
      <w:r>
        <w:rPr>
          <w:rFonts w:hint="eastAsia" w:ascii="方正仿宋_GBK"/>
          <w:lang w:eastAsia="zh-CN"/>
        </w:rPr>
        <w:t>人员经费</w:t>
      </w:r>
      <w:r>
        <w:rPr>
          <w:rFonts w:hint="eastAsia" w:ascii="方正仿宋_GBK"/>
        </w:rPr>
        <w:t>支出；项目支出减少</w:t>
      </w:r>
      <w:r>
        <w:rPr>
          <w:rFonts w:hint="eastAsia" w:ascii="方正仿宋_GBK"/>
          <w:lang w:eastAsia="zh-CN"/>
        </w:rPr>
        <w:t>14.45</w:t>
      </w:r>
      <w:r>
        <w:rPr>
          <w:rFonts w:hint="eastAsia" w:ascii="方正仿宋_GBK"/>
        </w:rPr>
        <w:t>万元，主要为</w:t>
      </w:r>
      <w:r>
        <w:rPr>
          <w:rFonts w:hint="eastAsia" w:ascii="方正仿宋_GBK"/>
          <w:lang w:eastAsia="zh-CN"/>
        </w:rPr>
        <w:t>购置固定资产</w:t>
      </w:r>
      <w:r>
        <w:rPr>
          <w:rFonts w:hint="eastAsia" w:ascii="方正仿宋_GBK"/>
        </w:rPr>
        <w:t>支出。</w:t>
      </w:r>
    </w:p>
    <w:p>
      <w:pPr>
        <w:spacing w:before="10" w:after="10"/>
        <w:ind w:firstLine="640"/>
        <w:outlineLvl w:val="5"/>
        <w:rPr>
          <w:lang w:val="uk-UA"/>
        </w:rPr>
      </w:pPr>
      <w:r>
        <w:rPr>
          <w:rFonts w:ascii="黑体" w:hAnsi="黑体" w:eastAsia="黑体" w:cs="黑体"/>
          <w:color w:val="000000"/>
          <w:sz w:val="32"/>
        </w:rPr>
        <w:t>三、</w:t>
      </w:r>
      <w:r>
        <w:rPr>
          <w:rFonts w:hint="eastAsia" w:ascii="黑体" w:hAnsi="黑体" w:eastAsia="黑体" w:cs="黑体"/>
          <w:color w:val="000000"/>
          <w:sz w:val="32"/>
          <w:lang w:eastAsia="zh-CN"/>
        </w:rPr>
        <w:t>单位</w:t>
      </w:r>
      <w:r>
        <w:rPr>
          <w:rFonts w:ascii="黑体" w:hAnsi="黑体" w:eastAsia="黑体" w:cs="黑体"/>
          <w:color w:val="000000"/>
          <w:sz w:val="32"/>
        </w:rPr>
        <w:t>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运行经费共计安排</w:t>
      </w:r>
      <w:r>
        <w:rPr>
          <w:rFonts w:hint="eastAsia" w:ascii="方正仿宋_GBK"/>
          <w:lang w:eastAsia="zh-CN"/>
        </w:rPr>
        <w:t>6.61</w:t>
      </w:r>
      <w:r>
        <w:rPr>
          <w:rFonts w:hint="eastAsia" w:ascii="方正仿宋_GBK"/>
        </w:rPr>
        <w:t>万元，主要用于办公区的工会经费、福利费等日常运行支出。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eastAsia="zh-CN"/>
        </w:rPr>
        <w:t>0</w:t>
      </w:r>
      <w:r>
        <w:rPr>
          <w:rFonts w:hint="eastAsia" w:ascii="方正仿宋_GBK"/>
        </w:rPr>
        <w:t>万元。其中，因公出国（境）费</w:t>
      </w:r>
      <w:r>
        <w:rPr>
          <w:rFonts w:hint="eastAsia" w:ascii="方正仿宋_GBK"/>
          <w:lang w:eastAsia="zh-CN"/>
        </w:rPr>
        <w:t>0</w:t>
      </w:r>
      <w:r>
        <w:rPr>
          <w:rFonts w:hint="eastAsia" w:ascii="方正仿宋_GBK"/>
        </w:rPr>
        <w:t>万元；公务用车购置及运维费</w:t>
      </w:r>
      <w:r>
        <w:rPr>
          <w:rFonts w:hint="eastAsia" w:ascii="方正仿宋_GBK"/>
          <w:lang w:eastAsia="zh-CN"/>
        </w:rPr>
        <w:t>0</w:t>
      </w:r>
      <w:r>
        <w:rPr>
          <w:rFonts w:hint="eastAsia" w:ascii="方正仿宋_GBK"/>
        </w:rPr>
        <w:t>万元（其中：公务用车购置费为</w:t>
      </w:r>
      <w:r>
        <w:rPr>
          <w:rFonts w:hint="eastAsia" w:ascii="方正仿宋_GBK"/>
          <w:lang w:eastAsia="zh-CN"/>
        </w:rPr>
        <w:t>0</w:t>
      </w:r>
      <w:r>
        <w:rPr>
          <w:rFonts w:hint="eastAsia" w:ascii="方正仿宋_GBK"/>
        </w:rPr>
        <w:t>万元，公务用车运维费</w:t>
      </w:r>
      <w:r>
        <w:rPr>
          <w:rFonts w:hint="eastAsia" w:ascii="方正仿宋_GBK"/>
          <w:lang w:eastAsia="zh-CN"/>
        </w:rPr>
        <w:t>0</w:t>
      </w:r>
      <w:r>
        <w:rPr>
          <w:rFonts w:hint="eastAsia" w:ascii="方正仿宋_GBK"/>
        </w:rPr>
        <w:t>万元)；公务接待费</w:t>
      </w:r>
      <w:r>
        <w:rPr>
          <w:rFonts w:hint="eastAsia" w:ascii="方正仿宋_GBK"/>
          <w:lang w:eastAsia="zh-CN"/>
        </w:rPr>
        <w:t>0</w:t>
      </w:r>
      <w:r>
        <w:rPr>
          <w:rFonts w:hint="eastAsia" w:ascii="方正仿宋_GBK"/>
        </w:rPr>
        <w:t>万元。与2022年相比持平，其中，公务用车购置及运维费</w:t>
      </w:r>
      <w:r>
        <w:rPr>
          <w:rFonts w:hint="eastAsia" w:ascii="方正仿宋_GBK"/>
          <w:lang w:eastAsia="zh-CN"/>
        </w:rPr>
        <w:t>0</w:t>
      </w:r>
      <w:r>
        <w:rPr>
          <w:rFonts w:hint="eastAsia" w:ascii="方正仿宋_GBK"/>
        </w:rPr>
        <w:t>万元与2022年相比持平，无增减变化。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≥275人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2、返聘教师经费绩效目标表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1.完成教育教学活动和其他日常工作任务</w:t>
            </w:r>
          </w:p>
          <w:p>
            <w:pPr>
              <w:pStyle w:val="22"/>
            </w:pPr>
            <w:r>
              <w:t>2.返聘教师薪酬及人身意外保险得到有效保障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返聘教师人数</w:t>
            </w:r>
          </w:p>
        </w:tc>
        <w:tc>
          <w:tcPr>
            <w:tcW w:w="2835" w:type="dxa"/>
            <w:vAlign w:val="center"/>
          </w:tcPr>
          <w:p>
            <w:pPr>
              <w:pStyle w:val="22"/>
            </w:pPr>
            <w:r>
              <w:t>返聘教师人数</w:t>
            </w:r>
          </w:p>
        </w:tc>
        <w:tc>
          <w:tcPr>
            <w:tcW w:w="2551" w:type="dxa"/>
            <w:vAlign w:val="center"/>
          </w:tcPr>
          <w:p>
            <w:pPr>
              <w:pStyle w:val="22"/>
            </w:pPr>
            <w:r>
              <w:t>1人</w:t>
            </w:r>
          </w:p>
        </w:tc>
        <w:tc>
          <w:tcPr>
            <w:tcW w:w="2268" w:type="dxa"/>
            <w:vAlign w:val="center"/>
          </w:tcPr>
          <w:p>
            <w:pPr>
              <w:pStyle w:val="2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教学完成率</w:t>
            </w:r>
          </w:p>
        </w:tc>
        <w:tc>
          <w:tcPr>
            <w:tcW w:w="2835" w:type="dxa"/>
            <w:vAlign w:val="center"/>
          </w:tcPr>
          <w:p>
            <w:pPr>
              <w:pStyle w:val="22"/>
            </w:pPr>
            <w:r>
              <w:t>教学完成率</w:t>
            </w:r>
          </w:p>
        </w:tc>
        <w:tc>
          <w:tcPr>
            <w:tcW w:w="2551" w:type="dxa"/>
            <w:vAlign w:val="center"/>
          </w:tcPr>
          <w:p>
            <w:pPr>
              <w:pStyle w:val="22"/>
            </w:pPr>
            <w:r>
              <w:t>100%</w:t>
            </w:r>
          </w:p>
        </w:tc>
        <w:tc>
          <w:tcPr>
            <w:tcW w:w="2268" w:type="dxa"/>
            <w:vAlign w:val="center"/>
          </w:tcPr>
          <w:p>
            <w:pPr>
              <w:pStyle w:val="2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返聘教师工作时长</w:t>
            </w:r>
          </w:p>
        </w:tc>
        <w:tc>
          <w:tcPr>
            <w:tcW w:w="2835" w:type="dxa"/>
            <w:vAlign w:val="center"/>
          </w:tcPr>
          <w:p>
            <w:pPr>
              <w:pStyle w:val="22"/>
            </w:pPr>
            <w:r>
              <w:t>返聘教师工作时长</w:t>
            </w:r>
          </w:p>
        </w:tc>
        <w:tc>
          <w:tcPr>
            <w:tcW w:w="2551" w:type="dxa"/>
            <w:vAlign w:val="center"/>
          </w:tcPr>
          <w:p>
            <w:pPr>
              <w:pStyle w:val="22"/>
            </w:pPr>
            <w:r>
              <w:t>12月</w:t>
            </w:r>
          </w:p>
        </w:tc>
        <w:tc>
          <w:tcPr>
            <w:tcW w:w="2268" w:type="dxa"/>
            <w:vAlign w:val="center"/>
          </w:tcPr>
          <w:p>
            <w:pPr>
              <w:pStyle w:val="2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财政投入金额</w:t>
            </w:r>
          </w:p>
        </w:tc>
        <w:tc>
          <w:tcPr>
            <w:tcW w:w="2835" w:type="dxa"/>
            <w:vAlign w:val="center"/>
          </w:tcPr>
          <w:p>
            <w:pPr>
              <w:pStyle w:val="22"/>
            </w:pPr>
            <w:r>
              <w:t>财政投入金额</w:t>
            </w:r>
          </w:p>
        </w:tc>
        <w:tc>
          <w:tcPr>
            <w:tcW w:w="2551" w:type="dxa"/>
            <w:vAlign w:val="center"/>
          </w:tcPr>
          <w:p>
            <w:pPr>
              <w:pStyle w:val="22"/>
            </w:pPr>
            <w:r>
              <w:t>3.63万元</w:t>
            </w:r>
          </w:p>
        </w:tc>
        <w:tc>
          <w:tcPr>
            <w:tcW w:w="2268" w:type="dxa"/>
            <w:vAlign w:val="center"/>
          </w:tcPr>
          <w:p>
            <w:pPr>
              <w:pStyle w:val="2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是否有效保障完成教育教学活动</w:t>
            </w:r>
          </w:p>
        </w:tc>
        <w:tc>
          <w:tcPr>
            <w:tcW w:w="2835" w:type="dxa"/>
            <w:vAlign w:val="center"/>
          </w:tcPr>
          <w:p>
            <w:pPr>
              <w:pStyle w:val="22"/>
            </w:pPr>
            <w:r>
              <w:t>是否有效保障完成教育教学活动</w:t>
            </w:r>
          </w:p>
        </w:tc>
        <w:tc>
          <w:tcPr>
            <w:tcW w:w="2551" w:type="dxa"/>
            <w:vAlign w:val="center"/>
          </w:tcPr>
          <w:p>
            <w:pPr>
              <w:pStyle w:val="22"/>
            </w:pPr>
            <w:r>
              <w:t>有效保障</w:t>
            </w:r>
          </w:p>
        </w:tc>
        <w:tc>
          <w:tcPr>
            <w:tcW w:w="2268" w:type="dxa"/>
            <w:vAlign w:val="center"/>
          </w:tcPr>
          <w:p>
            <w:pPr>
              <w:pStyle w:val="2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是否有效环节学校师资力量紧张情况</w:t>
            </w:r>
          </w:p>
        </w:tc>
        <w:tc>
          <w:tcPr>
            <w:tcW w:w="2835" w:type="dxa"/>
            <w:vAlign w:val="center"/>
          </w:tcPr>
          <w:p>
            <w:pPr>
              <w:pStyle w:val="22"/>
            </w:pPr>
            <w:r>
              <w:t>是否有效环节学校师资力量紧张情况</w:t>
            </w:r>
          </w:p>
        </w:tc>
        <w:tc>
          <w:tcPr>
            <w:tcW w:w="2551" w:type="dxa"/>
            <w:vAlign w:val="center"/>
          </w:tcPr>
          <w:p>
            <w:pPr>
              <w:pStyle w:val="22"/>
            </w:pPr>
            <w:r>
              <w:t>有效环节</w:t>
            </w:r>
          </w:p>
        </w:tc>
        <w:tc>
          <w:tcPr>
            <w:tcW w:w="2268" w:type="dxa"/>
            <w:vAlign w:val="center"/>
          </w:tcPr>
          <w:p>
            <w:pPr>
              <w:pStyle w:val="2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≥95 %</w:t>
            </w:r>
          </w:p>
        </w:tc>
        <w:tc>
          <w:tcPr>
            <w:tcW w:w="2268" w:type="dxa"/>
            <w:vAlign w:val="center"/>
          </w:tcPr>
          <w:p>
            <w:pPr>
              <w:pStyle w:val="22"/>
            </w:pPr>
            <w:r>
              <w:t xml:space="preserve"> 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经费保障学生数</w:t>
            </w:r>
          </w:p>
        </w:tc>
        <w:tc>
          <w:tcPr>
            <w:tcW w:w="2835" w:type="dxa"/>
            <w:vAlign w:val="center"/>
          </w:tcPr>
          <w:p>
            <w:pPr>
              <w:pStyle w:val="22"/>
            </w:pPr>
            <w:r>
              <w:t>经费保障学生数</w:t>
            </w:r>
          </w:p>
        </w:tc>
        <w:tc>
          <w:tcPr>
            <w:tcW w:w="2551" w:type="dxa"/>
            <w:vAlign w:val="center"/>
          </w:tcPr>
          <w:p>
            <w:pPr>
              <w:pStyle w:val="22"/>
            </w:pPr>
            <w:r>
              <w:t>≥275人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可持续影响指标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经费保障学生数</w:t>
            </w:r>
          </w:p>
        </w:tc>
        <w:tc>
          <w:tcPr>
            <w:tcW w:w="2835" w:type="dxa"/>
            <w:vAlign w:val="center"/>
          </w:tcPr>
          <w:p>
            <w:pPr>
              <w:pStyle w:val="22"/>
            </w:pPr>
            <w:r>
              <w:t>经费保障学生数</w:t>
            </w:r>
          </w:p>
        </w:tc>
        <w:tc>
          <w:tcPr>
            <w:tcW w:w="2551" w:type="dxa"/>
            <w:vAlign w:val="center"/>
          </w:tcPr>
          <w:p>
            <w:pPr>
              <w:pStyle w:val="22"/>
            </w:pPr>
            <w:r>
              <w:t>≥275人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5、幼儿保教经费绩效目标表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1.保障幼儿园保教工作正常运转。</w:t>
            </w:r>
          </w:p>
          <w:p>
            <w:pPr>
              <w:pStyle w:val="22"/>
            </w:pPr>
            <w:r>
              <w:t>2.保障学前三年适龄幼儿顺利接受学前教育。</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保教人员数量</w:t>
            </w:r>
          </w:p>
        </w:tc>
        <w:tc>
          <w:tcPr>
            <w:tcW w:w="2835" w:type="dxa"/>
            <w:vAlign w:val="center"/>
          </w:tcPr>
          <w:p>
            <w:pPr>
              <w:pStyle w:val="22"/>
            </w:pPr>
            <w:r>
              <w:t>保教人员数量</w:t>
            </w:r>
          </w:p>
        </w:tc>
        <w:tc>
          <w:tcPr>
            <w:tcW w:w="2551" w:type="dxa"/>
            <w:vAlign w:val="center"/>
          </w:tcPr>
          <w:p>
            <w:pPr>
              <w:pStyle w:val="22"/>
            </w:pPr>
            <w:r>
              <w:t>≥8人</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经费保障在园幼儿数量</w:t>
            </w:r>
          </w:p>
        </w:tc>
        <w:tc>
          <w:tcPr>
            <w:tcW w:w="2835" w:type="dxa"/>
            <w:vAlign w:val="center"/>
          </w:tcPr>
          <w:p>
            <w:pPr>
              <w:pStyle w:val="22"/>
            </w:pPr>
            <w:r>
              <w:t>经费保障在园幼儿数量</w:t>
            </w:r>
          </w:p>
        </w:tc>
        <w:tc>
          <w:tcPr>
            <w:tcW w:w="2551" w:type="dxa"/>
            <w:vAlign w:val="center"/>
          </w:tcPr>
          <w:p>
            <w:pPr>
              <w:pStyle w:val="22"/>
            </w:pPr>
            <w:r>
              <w:t>≥80人</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适龄幼儿入园率</w:t>
            </w:r>
          </w:p>
        </w:tc>
        <w:tc>
          <w:tcPr>
            <w:tcW w:w="2835" w:type="dxa"/>
            <w:vAlign w:val="center"/>
          </w:tcPr>
          <w:p>
            <w:pPr>
              <w:pStyle w:val="22"/>
            </w:pPr>
            <w:r>
              <w:t>适龄幼儿入园率</w:t>
            </w:r>
          </w:p>
        </w:tc>
        <w:tc>
          <w:tcPr>
            <w:tcW w:w="2551" w:type="dxa"/>
            <w:vAlign w:val="center"/>
          </w:tcPr>
          <w:p>
            <w:pPr>
              <w:pStyle w:val="22"/>
            </w:pPr>
            <w:r>
              <w:t>≥85%</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资金支付进度时效</w:t>
            </w:r>
          </w:p>
        </w:tc>
        <w:tc>
          <w:tcPr>
            <w:tcW w:w="2835" w:type="dxa"/>
            <w:vAlign w:val="center"/>
          </w:tcPr>
          <w:p>
            <w:pPr>
              <w:pStyle w:val="22"/>
            </w:pPr>
            <w:r>
              <w:t>资金支付进度时效</w:t>
            </w:r>
          </w:p>
        </w:tc>
        <w:tc>
          <w:tcPr>
            <w:tcW w:w="2551" w:type="dxa"/>
            <w:vAlign w:val="center"/>
          </w:tcPr>
          <w:p>
            <w:pPr>
              <w:pStyle w:val="22"/>
            </w:pPr>
            <w:r>
              <w:t>按月支付</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预算控制数</w:t>
            </w:r>
          </w:p>
        </w:tc>
        <w:tc>
          <w:tcPr>
            <w:tcW w:w="2835" w:type="dxa"/>
            <w:vAlign w:val="center"/>
          </w:tcPr>
          <w:p>
            <w:pPr>
              <w:pStyle w:val="22"/>
            </w:pPr>
            <w:r>
              <w:t>预算控制数</w:t>
            </w:r>
          </w:p>
        </w:tc>
        <w:tc>
          <w:tcPr>
            <w:tcW w:w="2551" w:type="dxa"/>
            <w:vAlign w:val="center"/>
          </w:tcPr>
          <w:p>
            <w:pPr>
              <w:pStyle w:val="22"/>
            </w:pPr>
            <w:r>
              <w:t>≤</w:t>
            </w:r>
          </w:p>
          <w:p>
            <w:pPr>
              <w:pStyle w:val="22"/>
            </w:pPr>
            <w:r>
              <w:t>9.6万元</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是否有效保障保教工作顺利开展</w:t>
            </w:r>
          </w:p>
        </w:tc>
        <w:tc>
          <w:tcPr>
            <w:tcW w:w="2835" w:type="dxa"/>
            <w:vAlign w:val="center"/>
          </w:tcPr>
          <w:p>
            <w:pPr>
              <w:pStyle w:val="22"/>
            </w:pPr>
            <w:r>
              <w:t>是否有效保障保教工作顺利开展</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家长对幼儿园的满意度</w:t>
            </w:r>
          </w:p>
        </w:tc>
        <w:tc>
          <w:tcPr>
            <w:tcW w:w="2835" w:type="dxa"/>
            <w:vAlign w:val="center"/>
          </w:tcPr>
          <w:p>
            <w:pPr>
              <w:pStyle w:val="22"/>
            </w:pPr>
            <w:r>
              <w:t>调查中对幼儿园满意和较满意的家长人数占调查总人数的比率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2023年，霸州市堂二里镇四间房村中心小学安排政府采购预算0.00万元。具体内容见下表。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501616霸州市堂二里镇四间房村中心小学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3"/>
            </w:pPr>
          </w:p>
        </w:tc>
        <w:tc>
          <w:tcPr>
            <w:tcW w:w="850" w:type="dxa"/>
            <w:vAlign w:val="center"/>
          </w:tcPr>
          <w:p>
            <w:pPr>
              <w:pStyle w:val="21"/>
            </w:pPr>
          </w:p>
        </w:tc>
        <w:tc>
          <w:tcPr>
            <w:tcW w:w="850"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霸州市堂二里镇四间房村中心小学上年末固定资产金额为</w:t>
      </w:r>
      <w:r>
        <w:rPr>
          <w:rFonts w:hint="eastAsia" w:eastAsia="方正仿宋_GBK"/>
          <w:color w:val="000000"/>
          <w:sz w:val="28"/>
          <w:lang w:eastAsia="zh-CN"/>
        </w:rPr>
        <w:t>206.13</w:t>
      </w:r>
      <w:r>
        <w:rPr>
          <w:rFonts w:eastAsia="方正仿宋_GBK"/>
          <w:color w:val="000000"/>
          <w:sz w:val="28"/>
        </w:rPr>
        <w:t>万元（详见下表）。本年度拟购置固定资产总额为0.00万元，已按要求列入政府采购预算，详见政府采购预算表。</w:t>
      </w: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501616霸州市堂二里镇四间房村中心小学</w:t>
            </w:r>
          </w:p>
        </w:tc>
        <w:tc>
          <w:tcPr>
            <w:tcW w:w="5670"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pPr>
            <w:r>
              <w:t>项   目</w:t>
            </w:r>
          </w:p>
        </w:tc>
        <w:tc>
          <w:tcPr>
            <w:tcW w:w="2835" w:type="dxa"/>
            <w:vAlign w:val="center"/>
          </w:tcPr>
          <w:p>
            <w:pPr>
              <w:pStyle w:val="20"/>
            </w:pPr>
            <w:r>
              <w:t>数量</w:t>
            </w:r>
          </w:p>
        </w:tc>
        <w:tc>
          <w:tcPr>
            <w:tcW w:w="283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jc w:val="center"/>
              <w:rPr>
                <w:rFonts w:ascii="宋体" w:hAnsi="宋体" w:eastAsia="宋体" w:cs="宋体"/>
                <w:sz w:val="22"/>
              </w:rPr>
            </w:pPr>
            <w:r>
              <w:rPr>
                <w:rFonts w:hint="eastAsia" w:ascii="宋体" w:hAnsi="宋体" w:eastAsia="宋体" w:cs="宋体"/>
                <w:sz w:val="22"/>
              </w:rPr>
              <w:t>资产总额</w:t>
            </w:r>
          </w:p>
        </w:tc>
        <w:tc>
          <w:tcPr>
            <w:tcW w:w="2835" w:type="dxa"/>
            <w:vAlign w:val="center"/>
          </w:tcPr>
          <w:p>
            <w:pPr>
              <w:jc w:val="center"/>
              <w:rPr>
                <w:rFonts w:ascii="宋体" w:hAnsi="宋体" w:eastAsia="宋体" w:cs="宋体"/>
                <w:sz w:val="22"/>
              </w:rPr>
            </w:pPr>
            <w:r>
              <w:rPr>
                <w:rFonts w:hint="eastAsia" w:ascii="宋体" w:hAnsi="宋体" w:eastAsia="宋体" w:cs="宋体"/>
                <w:sz w:val="22"/>
              </w:rPr>
              <w:t>——</w:t>
            </w:r>
          </w:p>
        </w:tc>
        <w:tc>
          <w:tcPr>
            <w:tcW w:w="2835" w:type="dxa"/>
            <w:vAlign w:val="center"/>
          </w:tcPr>
          <w:p>
            <w:pPr>
              <w:jc w:val="center"/>
              <w:rPr>
                <w:rFonts w:ascii="宋体" w:hAnsi="宋体" w:eastAsia="宋体" w:cs="宋体"/>
                <w:sz w:val="22"/>
                <w:lang w:eastAsia="zh-CN"/>
              </w:rPr>
            </w:pPr>
            <w:r>
              <w:rPr>
                <w:rFonts w:hint="eastAsia" w:ascii="宋体" w:hAnsi="宋体" w:eastAsia="宋体" w:cs="宋体"/>
                <w:sz w:val="22"/>
                <w:lang w:eastAsia="zh-CN"/>
              </w:rPr>
              <w:t>206.13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1、房屋（平方米）</w:t>
            </w:r>
          </w:p>
        </w:tc>
        <w:tc>
          <w:tcPr>
            <w:tcW w:w="2835" w:type="dxa"/>
            <w:vAlign w:val="center"/>
          </w:tcPr>
          <w:p>
            <w:pPr>
              <w:jc w:val="center"/>
              <w:rPr>
                <w:rFonts w:ascii="宋体" w:hAnsi="宋体" w:eastAsia="宋体" w:cs="宋体"/>
                <w:sz w:val="22"/>
                <w:lang w:eastAsia="zh-CN"/>
              </w:rPr>
            </w:pPr>
            <w:r>
              <w:rPr>
                <w:rFonts w:hint="eastAsia" w:ascii="宋体" w:hAnsi="宋体" w:eastAsia="宋体" w:cs="宋体"/>
                <w:sz w:val="22"/>
                <w:lang w:eastAsia="zh-CN"/>
              </w:rPr>
              <w:t>1409</w:t>
            </w:r>
          </w:p>
        </w:tc>
        <w:tc>
          <w:tcPr>
            <w:tcW w:w="2835" w:type="dxa"/>
            <w:vAlign w:val="center"/>
          </w:tcPr>
          <w:p>
            <w:pPr>
              <w:jc w:val="center"/>
              <w:rPr>
                <w:rFonts w:ascii="宋体" w:hAnsi="宋体" w:eastAsia="宋体" w:cs="宋体"/>
                <w:sz w:val="22"/>
                <w:lang w:eastAsia="zh-CN"/>
              </w:rPr>
            </w:pPr>
            <w:r>
              <w:rPr>
                <w:rFonts w:hint="eastAsia" w:ascii="宋体" w:hAnsi="宋体" w:eastAsia="宋体" w:cs="宋体"/>
                <w:sz w:val="22"/>
                <w:lang w:eastAsia="zh-CN"/>
              </w:rPr>
              <w:t>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 xml:space="preserve">   其中：办公用房（平方米）</w:t>
            </w:r>
          </w:p>
        </w:tc>
        <w:tc>
          <w:tcPr>
            <w:tcW w:w="2835" w:type="dxa"/>
            <w:vAlign w:val="center"/>
          </w:tcPr>
          <w:p>
            <w:pPr>
              <w:jc w:val="center"/>
              <w:rPr>
                <w:rFonts w:ascii="宋体" w:hAnsi="宋体" w:eastAsia="宋体" w:cs="宋体"/>
                <w:sz w:val="22"/>
                <w:lang w:eastAsia="zh-CN"/>
              </w:rPr>
            </w:pPr>
            <w:r>
              <w:rPr>
                <w:rFonts w:hint="eastAsia" w:ascii="宋体" w:hAnsi="宋体" w:eastAsia="宋体" w:cs="宋体"/>
                <w:sz w:val="22"/>
                <w:lang w:eastAsia="zh-CN"/>
              </w:rPr>
              <w:t>1409</w:t>
            </w:r>
          </w:p>
        </w:tc>
        <w:tc>
          <w:tcPr>
            <w:tcW w:w="2835" w:type="dxa"/>
            <w:vAlign w:val="center"/>
          </w:tcPr>
          <w:p>
            <w:pPr>
              <w:jc w:val="center"/>
              <w:rPr>
                <w:rFonts w:ascii="宋体" w:hAnsi="宋体" w:eastAsia="宋体" w:cs="宋体"/>
                <w:sz w:val="22"/>
                <w:lang w:eastAsia="zh-CN"/>
              </w:rPr>
            </w:pPr>
            <w:r>
              <w:rPr>
                <w:rFonts w:hint="eastAsia" w:ascii="宋体" w:hAnsi="宋体" w:eastAsia="宋体" w:cs="宋体"/>
                <w:sz w:val="22"/>
                <w:lang w:eastAsia="zh-CN"/>
              </w:rPr>
              <w:t>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2、车辆（台、辆）</w:t>
            </w:r>
          </w:p>
        </w:tc>
        <w:tc>
          <w:tcPr>
            <w:tcW w:w="2835" w:type="dxa"/>
            <w:vAlign w:val="center"/>
          </w:tcPr>
          <w:p>
            <w:pPr>
              <w:jc w:val="center"/>
              <w:rPr>
                <w:rFonts w:ascii="宋体" w:hAnsi="宋体" w:eastAsia="宋体" w:cs="宋体"/>
                <w:sz w:val="22"/>
              </w:rPr>
            </w:pPr>
            <w:r>
              <w:rPr>
                <w:rFonts w:hint="eastAsia" w:ascii="宋体" w:hAnsi="宋体" w:eastAsia="宋体" w:cs="宋体"/>
                <w:sz w:val="22"/>
              </w:rPr>
              <w:t>——</w:t>
            </w:r>
          </w:p>
        </w:tc>
        <w:tc>
          <w:tcPr>
            <w:tcW w:w="2835" w:type="dxa"/>
            <w:vAlign w:val="center"/>
          </w:tcPr>
          <w:p>
            <w:pPr>
              <w:jc w:val="center"/>
              <w:rPr>
                <w:rFonts w:ascii="宋体" w:hAnsi="宋体" w:eastAsia="宋体" w:cs="宋体"/>
                <w:sz w:val="22"/>
              </w:rPr>
            </w:pPr>
            <w:r>
              <w:rPr>
                <w:rFonts w:hint="eastAsia" w:ascii="宋体" w:hAnsi="宋体" w:eastAsia="宋体" w:cs="宋体"/>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3、单价在50万元以上的设备</w:t>
            </w:r>
          </w:p>
        </w:tc>
        <w:tc>
          <w:tcPr>
            <w:tcW w:w="2835" w:type="dxa"/>
            <w:vAlign w:val="center"/>
          </w:tcPr>
          <w:p>
            <w:pPr>
              <w:jc w:val="center"/>
              <w:rPr>
                <w:rFonts w:ascii="宋体" w:hAnsi="宋体" w:eastAsia="宋体" w:cs="宋体"/>
                <w:sz w:val="22"/>
              </w:rPr>
            </w:pPr>
            <w:r>
              <w:rPr>
                <w:rFonts w:hint="eastAsia" w:ascii="宋体" w:hAnsi="宋体" w:eastAsia="宋体" w:cs="宋体"/>
                <w:sz w:val="22"/>
              </w:rPr>
              <w:t>——</w:t>
            </w:r>
          </w:p>
        </w:tc>
        <w:tc>
          <w:tcPr>
            <w:tcW w:w="2835" w:type="dxa"/>
            <w:vAlign w:val="center"/>
          </w:tcPr>
          <w:p>
            <w:pPr>
              <w:jc w:val="center"/>
              <w:rPr>
                <w:rFonts w:ascii="宋体" w:hAnsi="宋体" w:eastAsia="宋体" w:cs="宋体"/>
                <w:sz w:val="22"/>
              </w:rPr>
            </w:pPr>
            <w:r>
              <w:rPr>
                <w:rFonts w:hint="eastAsia" w:ascii="宋体" w:hAnsi="宋体" w:eastAsia="宋体" w:cs="宋体"/>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4、其他固定资产</w:t>
            </w:r>
          </w:p>
        </w:tc>
        <w:tc>
          <w:tcPr>
            <w:tcW w:w="2835" w:type="dxa"/>
            <w:vAlign w:val="center"/>
          </w:tcPr>
          <w:p>
            <w:pPr>
              <w:jc w:val="center"/>
              <w:rPr>
                <w:rFonts w:ascii="宋体" w:hAnsi="宋体" w:eastAsia="宋体" w:cs="宋体"/>
                <w:sz w:val="22"/>
              </w:rPr>
            </w:pPr>
            <w:r>
              <w:rPr>
                <w:rFonts w:hint="eastAsia" w:ascii="宋体" w:hAnsi="宋体" w:eastAsia="宋体" w:cs="宋体"/>
                <w:sz w:val="22"/>
              </w:rPr>
              <w:t>——</w:t>
            </w:r>
          </w:p>
        </w:tc>
        <w:tc>
          <w:tcPr>
            <w:tcW w:w="2835" w:type="dxa"/>
            <w:vAlign w:val="center"/>
          </w:tcPr>
          <w:p>
            <w:pPr>
              <w:jc w:val="center"/>
              <w:rPr>
                <w:rFonts w:ascii="宋体" w:hAnsi="宋体" w:eastAsia="宋体" w:cs="宋体"/>
                <w:sz w:val="22"/>
                <w:lang w:eastAsia="zh-CN"/>
              </w:rPr>
            </w:pPr>
            <w:r>
              <w:rPr>
                <w:rFonts w:hint="eastAsia" w:ascii="宋体" w:hAnsi="宋体" w:eastAsia="宋体" w:cs="宋体"/>
                <w:sz w:val="22"/>
                <w:lang w:eastAsia="zh-CN"/>
              </w:rPr>
              <w:t>128.13</w:t>
            </w:r>
          </w:p>
        </w:tc>
      </w:tr>
    </w:tbl>
    <w:p>
      <w:pPr>
        <w:spacing w:before="10" w:after="10"/>
        <w:ind w:firstLine="640"/>
        <w:outlineLvl w:val="5"/>
      </w:pPr>
      <w:bookmarkStart w:id="0" w:name="_GoBack"/>
      <w:bookmarkEnd w:id="0"/>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21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TkxMmIyYzM2YjIxOGQwODA5Njg2ZmI0OWY5NDIifQ=="/>
    <w:docVar w:name="KSO_WPS_MARK_KEY" w:val="872734df-c3d6-473f-880a-346dec2b3e2b"/>
  </w:docVars>
  <w:rsids>
    <w:rsidRoot w:val="004A1168"/>
    <w:rsid w:val="00012A57"/>
    <w:rsid w:val="000216E0"/>
    <w:rsid w:val="000B7353"/>
    <w:rsid w:val="00136014"/>
    <w:rsid w:val="001C778B"/>
    <w:rsid w:val="001F67F8"/>
    <w:rsid w:val="002F010E"/>
    <w:rsid w:val="003A5231"/>
    <w:rsid w:val="003D654A"/>
    <w:rsid w:val="00456068"/>
    <w:rsid w:val="00464BFB"/>
    <w:rsid w:val="004A1168"/>
    <w:rsid w:val="004E2A8D"/>
    <w:rsid w:val="00534DC5"/>
    <w:rsid w:val="005643FA"/>
    <w:rsid w:val="005B7AFC"/>
    <w:rsid w:val="006D6C4D"/>
    <w:rsid w:val="006F70C6"/>
    <w:rsid w:val="0072271E"/>
    <w:rsid w:val="00853A05"/>
    <w:rsid w:val="00955EC4"/>
    <w:rsid w:val="00972810"/>
    <w:rsid w:val="00991EB1"/>
    <w:rsid w:val="009B55A2"/>
    <w:rsid w:val="009D0D0F"/>
    <w:rsid w:val="00A80758"/>
    <w:rsid w:val="00A9064A"/>
    <w:rsid w:val="00A915A7"/>
    <w:rsid w:val="00AA1FB3"/>
    <w:rsid w:val="00AD578B"/>
    <w:rsid w:val="00B418A9"/>
    <w:rsid w:val="00B6757F"/>
    <w:rsid w:val="00BB35A7"/>
    <w:rsid w:val="00C57197"/>
    <w:rsid w:val="00C672B5"/>
    <w:rsid w:val="00CC7E62"/>
    <w:rsid w:val="00D513F4"/>
    <w:rsid w:val="00D64AD2"/>
    <w:rsid w:val="00D93167"/>
    <w:rsid w:val="00D9444E"/>
    <w:rsid w:val="00E20116"/>
    <w:rsid w:val="00E3061C"/>
    <w:rsid w:val="00EF51BF"/>
    <w:rsid w:val="00F909D9"/>
    <w:rsid w:val="00FC209C"/>
    <w:rsid w:val="6C765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uiPriority w:val="99"/>
    <w:pPr>
      <w:tabs>
        <w:tab w:val="center" w:pos="4153"/>
        <w:tab w:val="right" w:pos="8306"/>
      </w:tabs>
      <w:snapToGrid w:val="0"/>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3">
    <w:name w:val="页眉 Char"/>
    <w:basedOn w:val="12"/>
    <w:link w:val="6"/>
    <w:uiPriority w:val="99"/>
    <w:rPr>
      <w:sz w:val="18"/>
      <w:szCs w:val="18"/>
    </w:rPr>
  </w:style>
  <w:style w:type="character" w:customStyle="1" w:styleId="14">
    <w:name w:val="页脚 Char"/>
    <w:basedOn w:val="12"/>
    <w:link w:val="5"/>
    <w:uiPriority w:val="99"/>
    <w:rPr>
      <w:sz w:val="18"/>
      <w:szCs w:val="18"/>
    </w:rPr>
  </w:style>
  <w:style w:type="character" w:customStyle="1" w:styleId="15">
    <w:name w:val="标题 1 Char"/>
    <w:basedOn w:val="12"/>
    <w:link w:val="2"/>
    <w:uiPriority w:val="9"/>
    <w:rPr>
      <w:rFonts w:ascii="Times New Roman" w:hAnsi="Times New Roman" w:eastAsia="Times New Roman" w:cs="Times New Roman"/>
      <w:b/>
      <w:bCs/>
      <w:kern w:val="44"/>
      <w:sz w:val="44"/>
      <w:szCs w:val="44"/>
      <w:lang w:eastAsia="uk-UA"/>
    </w:rPr>
  </w:style>
  <w:style w:type="character" w:customStyle="1" w:styleId="16">
    <w:name w:val="标题 2 Char"/>
    <w:basedOn w:val="12"/>
    <w:link w:val="3"/>
    <w:semiHidden/>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26</Pages>
  <Words>6056</Words>
  <Characters>7003</Characters>
  <Lines>67</Lines>
  <Paragraphs>19</Paragraphs>
  <TotalTime>1</TotalTime>
  <ScaleCrop>false</ScaleCrop>
  <LinksUpToDate>false</LinksUpToDate>
  <CharactersWithSpaces>7177</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2023-02-26T03:01:00Z</dcterms:created>
  <dc:creator>Sky123.Org</dc:creator>
  <cp:lastModifiedBy>徐</cp:lastModifiedBy>
  <dcterms:modified xsi:type="dcterms:W3CDTF">2023-02-28T07:20:13Z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C5282D3439B24B68AFBD15677D133C18</vt:lpwstr>
  </property>
</Properties>
</file>